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40" w:rsidRPr="008C3840" w:rsidRDefault="008C3840" w:rsidP="008C384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8C3840" w:rsidRPr="008C3840" w:rsidRDefault="008C3840" w:rsidP="008C3840">
      <w:pPr>
        <w:tabs>
          <w:tab w:val="center" w:pos="4677"/>
          <w:tab w:val="left" w:pos="8068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Спеціальність 227 Фізична реабілітація</w:t>
      </w:r>
    </w:p>
    <w:p w:rsidR="008C3840" w:rsidRPr="008C3840" w:rsidRDefault="008C3840" w:rsidP="008C3840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8C3840" w:rsidRPr="008C3840" w:rsidRDefault="008C3840" w:rsidP="008C384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Лекція № 1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</w:p>
    <w:p w:rsidR="008C3840" w:rsidRPr="008C3840" w:rsidRDefault="008C3840" w:rsidP="008C384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C3840" w:rsidRDefault="008C3840" w:rsidP="008C384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84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Тема: </w:t>
      </w:r>
      <w:r w:rsidRPr="004E5991">
        <w:rPr>
          <w:rFonts w:ascii="Times New Roman" w:hAnsi="Times New Roman" w:cs="Times New Roman"/>
          <w:b/>
          <w:bCs/>
          <w:sz w:val="28"/>
          <w:szCs w:val="28"/>
        </w:rPr>
        <w:t>ПРОФІЛА</w:t>
      </w:r>
      <w:r>
        <w:rPr>
          <w:rFonts w:ascii="Times New Roman" w:hAnsi="Times New Roman" w:cs="Times New Roman"/>
          <w:b/>
          <w:bCs/>
          <w:sz w:val="28"/>
          <w:szCs w:val="28"/>
        </w:rPr>
        <w:t>КТИКА ОСНОВНИХ ФОРМ ЗАХВОРЮВАНЬ</w:t>
      </w:r>
    </w:p>
    <w:p w:rsidR="008C3840" w:rsidRDefault="008C3840" w:rsidP="008C384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034F" w:rsidRDefault="0034034F" w:rsidP="008C3840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План:</w:t>
      </w:r>
    </w:p>
    <w:p w:rsidR="0034034F" w:rsidRPr="0034034F" w:rsidRDefault="0034034F" w:rsidP="003403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F">
        <w:rPr>
          <w:rFonts w:ascii="Times New Roman" w:hAnsi="Times New Roman" w:cs="Times New Roman"/>
          <w:bCs/>
          <w:sz w:val="28"/>
          <w:szCs w:val="28"/>
          <w:lang w:val="uk-UA"/>
        </w:rPr>
        <w:t>Основні фактори ризику</w:t>
      </w:r>
    </w:p>
    <w:p w:rsidR="0034034F" w:rsidRPr="0034034F" w:rsidRDefault="0034034F" w:rsidP="003403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F">
        <w:rPr>
          <w:rFonts w:ascii="Times New Roman" w:hAnsi="Times New Roman" w:cs="Times New Roman"/>
          <w:sz w:val="28"/>
          <w:szCs w:val="28"/>
          <w:lang w:val="uk-UA"/>
        </w:rPr>
        <w:t>Профілактика серцево-судинних захворювань</w:t>
      </w:r>
    </w:p>
    <w:p w:rsidR="0034034F" w:rsidRPr="0034034F" w:rsidRDefault="0034034F" w:rsidP="003403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F">
        <w:rPr>
          <w:rFonts w:ascii="Times New Roman" w:hAnsi="Times New Roman" w:cs="Times New Roman"/>
          <w:sz w:val="28"/>
          <w:szCs w:val="28"/>
          <w:lang w:val="uk-UA"/>
        </w:rPr>
        <w:t>Профілактика злоякісних новоутворень</w:t>
      </w:r>
    </w:p>
    <w:p w:rsidR="0034034F" w:rsidRPr="0034034F" w:rsidRDefault="0034034F" w:rsidP="00340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034F">
        <w:rPr>
          <w:rFonts w:ascii="Times New Roman" w:hAnsi="Times New Roman" w:cs="Times New Roman"/>
          <w:sz w:val="28"/>
          <w:szCs w:val="28"/>
          <w:lang w:val="uk-UA"/>
        </w:rPr>
        <w:t>Відносність критеріїв здорового стилю життя.</w:t>
      </w:r>
    </w:p>
    <w:p w:rsidR="0034034F" w:rsidRPr="0034034F" w:rsidRDefault="0034034F" w:rsidP="003403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34F" w:rsidRPr="0034034F" w:rsidRDefault="0034034F" w:rsidP="008C3840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34F">
        <w:rPr>
          <w:rFonts w:ascii="Times New Roman" w:hAnsi="Times New Roman" w:cs="Times New Roman"/>
          <w:sz w:val="28"/>
          <w:szCs w:val="28"/>
          <w:lang w:val="uk-UA"/>
        </w:rPr>
        <w:t>Світова статистика дає абсолютно чітку інформацію про те, що кри</w:t>
      </w:r>
      <w:r w:rsidRPr="0034034F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тичним віком маніфестації захворювань, які найбільш часто призводять до інвалідизації та смерті, є межа в 40 років. </w:t>
      </w:r>
      <w:r w:rsidRPr="004E5991">
        <w:rPr>
          <w:rFonts w:ascii="Times New Roman" w:hAnsi="Times New Roman" w:cs="Times New Roman"/>
          <w:sz w:val="28"/>
          <w:szCs w:val="28"/>
        </w:rPr>
        <w:t>Саме в п’ятій декаді життя різко зростає можливість розвитку захворювань серцево-судинної системи, зло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якісних новоутворень, діабету другого типу, імунодефіцитів, остеопорозу, депресивних стані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Наприклад, пухлина легень у третій декаді життя зустрічається в се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редньому 1:50000, у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п’ят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ій 1:4300, в шостій 1:1000, сьомій 1:559. Таким же чином,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ізко збільшується можливість серцево-судинної патології — у четвертій декаді життя 1:1000, у п’ятій 1:250, в шостій 1:100, сьомій 1: 70, у восьмій 1:16 і т. д.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E5991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ктивність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</w:rPr>
        <w:t>ілактичних заході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E59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1. Важливі заходи, що дозволяють знизити кількість захворювань та їх важкість — це ті, які вживаються самим пацієнтом. Багато рутинних тес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тів є недієвими, пов’язаними з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великими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витратами, недостатньо клінічно значущі. Тому акцент робиться на зміни в поведінці самого пацієнта.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2. Необхідно ретельний відбі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тестів і заходів, врахування статі, віку, індивідуальних чинників ризику, щоб якомога більше знизити ризик побіч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них ефектів і неприємностей від виконання процедур обстеження.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3. Просвітництво пацієнта або консультації з проблеми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ілактики виявилися більш корисними, ніж традиційна медична практика (проведен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ня діагностичних процедур). Таким чином, сама людина несе відповідаль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ність за своє здоров’я. </w:t>
      </w:r>
    </w:p>
    <w:p w:rsidR="0034034F" w:rsidRDefault="0034034F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034F" w:rsidRDefault="0034034F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3840" w:rsidRPr="0034034F" w:rsidRDefault="008C3840" w:rsidP="003403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Основні фактори ризику</w:t>
      </w:r>
    </w:p>
    <w:p w:rsidR="0034034F" w:rsidRPr="0034034F" w:rsidRDefault="0034034F" w:rsidP="0034034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Відповідно до «Керівництва з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ілактичної медицини» (США, 1993 р.) для життя людини віком до 40 років найбільш небезпечні дорожньо-транспортні пригоди, травми, вбивства і самогубства.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ісля 40 років найбільш ймовірні причини смерті — хвороби серця і судин (у тому числі мозку), рак легень, грудної залози (для жінок), прямої кишки. На думку експертів Західної Європи, 8 факторів стилю життя впливають на частоту виникнення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п’яти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основних форм захворювань: хвороб серця і судин, гіпертензії, раку легень і грудної залози, цукрового діабету. Серед них: тютюнопаління, споживання алкоголю, обмеження рухової активності, постійні стреси, надмірна маса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, надмірне споживання тваринних жирів та кухонної солі, недостатня кількість клітковини в харчовому раціоні. </w:t>
      </w:r>
    </w:p>
    <w:p w:rsidR="008C3840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Приблизноо 90 % експертів визнають існування строгої залежності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тютюнопалінням і хворобами серця, тютюнопалінням та раком легень. Понад 70 % експертів схиляються до твердження, що надмірне споживання алкоголю, низька рухова активність, стреси, надмірна маса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і багата тваринними жирами їжа впливають на виникнення хвороб серця. Таким чином, шлях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ілактики основних форм захворювань охарактеризовано досить чітко. Розглянемо їх докладніше. </w:t>
      </w:r>
    </w:p>
    <w:p w:rsidR="0034034F" w:rsidRPr="0034034F" w:rsidRDefault="0034034F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3840" w:rsidRPr="0034034F" w:rsidRDefault="008C3840" w:rsidP="003403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34F">
        <w:rPr>
          <w:rFonts w:ascii="Times New Roman" w:hAnsi="Times New Roman" w:cs="Times New Roman"/>
          <w:b/>
          <w:bCs/>
          <w:sz w:val="28"/>
          <w:szCs w:val="28"/>
        </w:rPr>
        <w:t>Проф</w:t>
      </w:r>
      <w:proofErr w:type="gramEnd"/>
      <w:r w:rsidRPr="0034034F">
        <w:rPr>
          <w:rFonts w:ascii="Times New Roman" w:hAnsi="Times New Roman" w:cs="Times New Roman"/>
          <w:b/>
          <w:bCs/>
          <w:sz w:val="28"/>
          <w:szCs w:val="28"/>
        </w:rPr>
        <w:t>ілактика серцево-судинних захворювань</w:t>
      </w:r>
    </w:p>
    <w:p w:rsidR="0034034F" w:rsidRPr="0034034F" w:rsidRDefault="0034034F" w:rsidP="0034034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Тютюнопаління</w:t>
      </w:r>
      <w:r w:rsidRPr="004E5991">
        <w:rPr>
          <w:rFonts w:ascii="Times New Roman" w:hAnsi="Times New Roman" w:cs="Times New Roman"/>
          <w:sz w:val="28"/>
          <w:szCs w:val="28"/>
        </w:rPr>
        <w:t xml:space="preserve">. Споживання навіть однієї сигарети в день вважається небезпечним. У середньому паління цигарок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ідвищує ризик розвитку ІХС в 3,5 рази. Нікотин полегшує проникнення холестерину в інтиму артерій,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ідвищує рівень артеріального тиску, збільшує можливість тромбоутворен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ня, порушує тонус судин. Боротьба з палінням передбачає наявність відпо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відної державної політики, що включає заборону реклами тютюнових ви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робів, створення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нетерпимого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ставлення до курців, формування «моди» на некурящий спосіб життя.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Необхідна зміна трьох поколінь (60 років) для формування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ійкого не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прийняття в суспільстві курців та тютюнопаління як суспільного явища. (У США це сталося набагато раніше). Слід врахувати, що паління не є необхід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ним фізіологічним компонентом життєдіяльності людини, а носить харак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тер набутого фактора ілюзорного емоційного розвантаження. У дітей па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ління носить характер способу самоствердження і показника «дорослості».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Для відмови від паління потрібне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ішуче бажання самої людини. Без цього результати будь-яких спроб гіпнозу або кодування психіки будуть </w:t>
      </w:r>
      <w:r w:rsidRPr="004E5991">
        <w:rPr>
          <w:rFonts w:ascii="Times New Roman" w:hAnsi="Times New Roman" w:cs="Times New Roman"/>
          <w:sz w:val="28"/>
          <w:szCs w:val="28"/>
        </w:rPr>
        <w:lastRenderedPageBreak/>
        <w:t xml:space="preserve">носити нестійкий і негарантований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характе 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. Як конкретні рекомендації для виходу із залежності можна запропонувати аутотренування (форму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вання відрази чи байдужості до паління), лікувальне голодування, фізичне тренування (компенсація для центру задоволення, очищення, формування 229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факторів неприйняття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сигаретного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диму), пасльонові продукти. Наприклад, помідори та баклажани містять нікотин і компенсують на перших порах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його 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ідсутність.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цією метою використовують жувальну гумку з нікоти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ном («нікоретте»).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Артеріальна гіпертензія</w:t>
      </w:r>
      <w:r w:rsidRPr="004E5991">
        <w:rPr>
          <w:rFonts w:ascii="Times New Roman" w:hAnsi="Times New Roman" w:cs="Times New Roman"/>
          <w:sz w:val="28"/>
          <w:szCs w:val="28"/>
        </w:rPr>
        <w:t xml:space="preserve">. Згідно з сучасними поглядами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івень АТ вище 140/90 мм. рт. ст. вже може розглядатися як чинник ризику, який збільшує можливість розвитку ІХС у 2 рази. Потенціює розвиток артеріальної гіпер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тензії паління, низька рухова активність, ожиріння, психоемоційний стрес.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Артеріальна гіпертензія сприяє механічному пошкодженню інтими су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дин, а також веде до розвитку патологічної гіпертрофії міокарда. Порушу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ється тонус судин, відбувається ранній прояв атеросклеротичних змін арте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ріального русла.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При початкових формах артеріальної гіпертензії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є потреби за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стосовувати гіпотензивні засоби.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ілком достатньо знизити надлишкову масу тіла, включити в щотижневий графік три-чотири тренування аероб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ного характеру з додатковими силовими вправами, адекватно керувати емоційним фоном при реагуванні на мінливі обставини життя (аутотре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нування, розвантаження психіки, вирівнювання рівня життєвих наванта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жень, гармонізація відносин з оточуючими тощо). У харчуванні необхідне обмеження кухонної солі та тваринних жирів з одночасним збільшенням вмісту клітковини в харчовому раціоні. Обов’язкова відмова від паління і алкоголю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великих дозах.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Дисліпопротеї</w:t>
      </w:r>
      <w:proofErr w:type="gramStart"/>
      <w:r w:rsidRPr="004E5991">
        <w:rPr>
          <w:rFonts w:ascii="Times New Roman" w:hAnsi="Times New Roman" w:cs="Times New Roman"/>
          <w:b/>
          <w:bCs/>
          <w:sz w:val="28"/>
          <w:szCs w:val="28"/>
        </w:rPr>
        <w:t>нем</w:t>
      </w:r>
      <w:proofErr w:type="gramEnd"/>
      <w:r w:rsidRPr="004E5991">
        <w:rPr>
          <w:rFonts w:ascii="Times New Roman" w:hAnsi="Times New Roman" w:cs="Times New Roman"/>
          <w:b/>
          <w:bCs/>
          <w:sz w:val="28"/>
          <w:szCs w:val="28"/>
        </w:rPr>
        <w:t xml:space="preserve">ія (ДЛП). </w:t>
      </w:r>
      <w:r w:rsidRPr="004E5991">
        <w:rPr>
          <w:rFonts w:ascii="Times New Roman" w:hAnsi="Times New Roman" w:cs="Times New Roman"/>
          <w:sz w:val="28"/>
          <w:szCs w:val="28"/>
        </w:rPr>
        <w:t>Основний прояв дисліпопротеїнемії — гіперхолестеринемія. Нормальний вмі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холестерину в сироватці кро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ві — 167-181 мг % (4,32-4,68 ммоль/л). Граничне значення 193-202 мг % (4,99-5,22 ммоль/л), небезпечна концентрація — більше 260 мг % (6,8 ммоль/л. ДЛП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ідвищує ризик розвитку ІХС у 4 рази. Провокуючі фактори розвитку ДЛП: нераціональне харчування (багато тваринних жирі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і мало клітковини), гіпокінезія, артеріальна гіпертензія, ожиріння.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ДЛП — основний патогенетичний фактор розвитку атеросклерозу. Мають значення атерогенні фракції ліпопротеїнів (ЛП) — низької і дуже низької щільності (ЛПНЩ і ЛПДНЩ), а також зниження концентрації анти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атерогенних фракцій ЛП (ЛП високої щільності — ЛПВЩ).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lastRenderedPageBreak/>
        <w:t>Для нормалізації лі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ідного обміну використовують фізичні наванта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ження помірної інтенсивності тривалістю 20-60 хвилин (аеробні вправи, спортивні ігри та ін.). Саме вони включають в метаболізм «зайві» лі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іди, використовують їх як енергетичний субстрат, а також сприяють зниженню індексу атерогенності. Важливе значення має харчування з наявністю вели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кої кількості харчових волокон, часнику, рослинних олій, продуктів моря.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м’ясних продуктів перевагу слід надавати «білому» м’ясу (страус, індики, кури), а також нежирній рибі, обмежити свинину, жирну баранину, вершко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ве масло, сметану, курячі яйця. 230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Стосовно препаратів гіполі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ідемічної дії необхідний зважений підхід, обгрунтування показань до використання (наприклад, спадкова гіперхолес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теринемія).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Слід врахувати, що проміжний продукт білкового обміну — гомоцис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теїн — «прокладає доріжку» лiпiдам при їх проникненні в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інку артерій. Він нагромаджується при дефіциті вітамінів групи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, особливо фолієвої кислоти, В6, В12. Тому «середземноморська дієта», багата макаронами, про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дуктами із злаків, соєю, гречкою, бобовими, цитрусовими, зеленню і олив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ковою олією, сприяє попередженню нагромадження гомоцистеїну і є важ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ливим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ілактичним засобом.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Надлишкова маса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(НМТ). Критерії надлишкової маси тіла — Body mass index (BMI) більше 28, спі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ідношення об’єму талії та окружності сте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гон у чоловіків більше 1,0; у жінок 0,8. Перевищення НМТ сприяє розви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тку АГ, ДЛП, атеросклерозу, викликає додаткове навантаження на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іокард, сприяє порушенню мікроциркуляції та ішемії тканин. Докладніше пробле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ма викладена в розділі «Механізми оздоровчої дії фізичних вправ».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Хронічний психоемоційний стрес</w:t>
      </w:r>
      <w:r w:rsidRPr="004E5991">
        <w:rPr>
          <w:rFonts w:ascii="Times New Roman" w:hAnsi="Times New Roman" w:cs="Times New Roman"/>
          <w:sz w:val="28"/>
          <w:szCs w:val="28"/>
        </w:rPr>
        <w:t>. Цей стан є передумовою для фор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мування некоронарогенних некрозів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іокарду, сприяє спазму коронарних артерій, згущення крові при одночасному зростанні потреби серцевого м’язу в кисні. Для протидії негативному впливу стресу використовують ау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тотренування, антиоксиданти, лікарські рослини з мяким антидепресант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ним та седативним ефектом.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На Заході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великого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поширення набули прийоми, що носять загальну на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зву копінг Копінг — це вироблення поведінки, що має на меті зменшен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ня або виключення психологічного дистресу або обставин, що викликають стрес (Тьюбсинг, 1993 р.). Це психотерапевтичні прийоми — від самооцін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ки до формування конкретних моделей поведінки в тій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чи інш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ій ситуації, що травмує психіку. Особливо це важливо для індивідів, які за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своєю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по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ведінкою відносяться до типу А.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lastRenderedPageBreak/>
        <w:t xml:space="preserve">Не слід забувати про позитивний вплив фізичного навантаження, яке сприяє утилізації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ідвищених концентрацій катехоламінів у крові.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Порушення толерантності до вуглеводів</w:t>
      </w:r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ідвищення концентрації глюкози в сироватці крові призводить до формування ангіопатій та ранньо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го розвитку атеросклерозу. Для корекції вуглеводного обміну використову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ють регулярне фізичне навантаження аеробного характеру, усунення з раці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ону харчування простих вуглеводі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(глюкоза). Має значення вживання в їжу певних харчових і лікарських рослин (топінамбур — «земляна груша»).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 xml:space="preserve">Гіпокінезія </w:t>
      </w:r>
      <w:r w:rsidRPr="004E5991">
        <w:rPr>
          <w:rFonts w:ascii="Times New Roman" w:hAnsi="Times New Roman" w:cs="Times New Roman"/>
          <w:sz w:val="28"/>
          <w:szCs w:val="28"/>
        </w:rPr>
        <w:t xml:space="preserve">— найбільш суперечливий критерій ризику розвитку ІХС. На думку ВООЗ, низька рухова активність не є самостійним і значущим чинником ризику розвитку ІХС. Незважаючи на величезну кількість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міологічних досліджень, виконаних у період з 1950 по 2000 роки на вели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ких масивах досліджуваних, роль рухової активності залишається спірною. 231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В одній третині робіт не вдалося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ідтвердити однозначно зв’язок низького рівня рухової активності з підвищеним ризиком розвитку ІХС і навпаки.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Найбільш відомі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ідження полягали в наступному.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ійські водії дво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поверхових автобусів і кондуктори, що їх обслуговують, поштові працівники, що отримують пошту та їх колеги, які розвозять пошту на велосипедах, до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стовірно відрізнялися за захворюваністю та смертністю від ІХС (J. K.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Morris). </w:t>
      </w:r>
      <w:proofErr w:type="gramEnd"/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Протягом 30 років проводилися спостереження над випускниками Гар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вардського університету, які ві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ізнялися за рівнем рухової активності. Ма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лорухомі випускники частіше хворіли інфарктом міокарду і вмирали від нього (Paffenberger).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9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іншого боку, фінські лісоруби, які мали високий рівень енерговитрат протягом доби, частіше хворіли і вмирали від інфаркту міокарду, в порівнян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ні з чоловіками, у яких добова активність виявилася меншою (M.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Karvonen). </w:t>
      </w:r>
      <w:proofErr w:type="gramEnd"/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Причина подібних розбіжностей встановлена (Г.Л. Апанасенко, Н. В. Морозов). Виявилося, що в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ідеміологічних дослідженнях, присвя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чених ролі рухової активності у виникненні ІХС, не враховували її спря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мованість та інтенсивність, тобто те головне, що визначає кінцевий ефект фізичного навантаження. Як тільки акцент у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ідженні переноситься з обсягу навантаження на інші його характеристики, а також кінцевий ре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зультат (рівень соматичного здоров’я), тоді стає очевидною роль рухової активності у профілактиці ІХС. Таким чином, низький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івень фізичного (соматичного) здоров’я є важливим фактором ризику ІХС. Проте високий і вище середнього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івні можна вважати безпечними в цьому відношенні.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lastRenderedPageBreak/>
        <w:t>Кардіопротекторний ефект мають аеробні фізичні вправи циклічного характеру при інтенсивності, що супроводжується ЧСС 65-85 % від макси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мальної (50-75 % від МПК). Гіпокінезія призводить до розвитку, факторів ризику виникнення ІХС перерахованих вище.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 xml:space="preserve">Зловживання алкоголем </w:t>
      </w:r>
      <w:r w:rsidRPr="004E5991">
        <w:rPr>
          <w:rFonts w:ascii="Times New Roman" w:hAnsi="Times New Roman" w:cs="Times New Roman"/>
          <w:sz w:val="28"/>
          <w:szCs w:val="28"/>
        </w:rPr>
        <w:t>— найважливіший фактор ризику розвитку захворювань. Проте регулярне споживання червоних натуральних виноградних вин має кардіопротекторний ефект за рахунок фенольних сполук, що містяться в кі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сточках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і шкірці червоного винограду («Французький феномен»).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99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b/>
          <w:bCs/>
          <w:sz w:val="28"/>
          <w:szCs w:val="28"/>
        </w:rPr>
        <w:t>ідвищенне згортання крові</w:t>
      </w:r>
      <w:r w:rsidRPr="004E5991">
        <w:rPr>
          <w:rFonts w:ascii="Times New Roman" w:hAnsi="Times New Roman" w:cs="Times New Roman"/>
          <w:sz w:val="28"/>
          <w:szCs w:val="28"/>
        </w:rPr>
        <w:t xml:space="preserve">. Підвищення згортання крові призводить до обмеження швидкості та об’єму кровообігу і є одним з найважливіших патогенетичних механізмів ішемії міокарду. Для зниження в’язкості крові необхідне збільшення кількості рослинної їжі в добовому раціоні, рослинних і фруктових соків,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інеральних вод, регулярна рухова активність, очищення організму, ліквідація явищ дисбактеріозу.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 xml:space="preserve">Спадковість </w:t>
      </w:r>
      <w:r w:rsidRPr="004E5991">
        <w:rPr>
          <w:rFonts w:ascii="Times New Roman" w:hAnsi="Times New Roman" w:cs="Times New Roman"/>
          <w:sz w:val="28"/>
          <w:szCs w:val="28"/>
        </w:rPr>
        <w:t xml:space="preserve">має величезне значення в прогнозуванні можливості розвитку захворювання. Сімейна патологія дуже поширена (М. А. Булгаков — нефросклероз на тлі гіпертензії. Наполеон — рак шлунка та ін.) і повинна налаштовувати лікаря й пацієнта на цілеспрямовані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ілактичні заходи. 232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991">
        <w:rPr>
          <w:rFonts w:ascii="Times New Roman" w:hAnsi="Times New Roman" w:cs="Times New Roman"/>
          <w:b/>
          <w:bCs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b/>
          <w:bCs/>
          <w:sz w:val="28"/>
          <w:szCs w:val="28"/>
        </w:rPr>
        <w:t>ілактика гострого порушення мозкового кровообігу (ГПМК)</w:t>
      </w:r>
    </w:p>
    <w:p w:rsidR="008C3840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ГПМК ішемічного типу: нормалізація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івня артеріального тиску (при гіпотензії може зберігатися високий ризик), протиревматична терапія і санація вогнищ хронічної інфекції (при наявності ревмоваскуліту з’являється ризик ГПМК), зниження в’язкості крові (у тому числі за допомогою антиагрегантів), гіполіпідемічна терапія та усунення дисліпопротеї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ії, поліпшення мозкового кровообігу (гінкго білоба), контроль психоемоц</w:t>
      </w:r>
      <w:r w:rsidR="0034034F">
        <w:rPr>
          <w:rFonts w:ascii="Times New Roman" w:hAnsi="Times New Roman" w:cs="Times New Roman"/>
          <w:sz w:val="28"/>
          <w:szCs w:val="28"/>
        </w:rPr>
        <w:t>ійного стану.</w:t>
      </w:r>
    </w:p>
    <w:p w:rsidR="0034034F" w:rsidRPr="0034034F" w:rsidRDefault="0034034F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3840" w:rsidRPr="0034034F" w:rsidRDefault="008C3840" w:rsidP="003403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34F">
        <w:rPr>
          <w:rFonts w:ascii="Times New Roman" w:hAnsi="Times New Roman" w:cs="Times New Roman"/>
          <w:b/>
          <w:bCs/>
          <w:sz w:val="28"/>
          <w:szCs w:val="28"/>
        </w:rPr>
        <w:t>Проф</w:t>
      </w:r>
      <w:proofErr w:type="gramEnd"/>
      <w:r w:rsidRPr="0034034F">
        <w:rPr>
          <w:rFonts w:ascii="Times New Roman" w:hAnsi="Times New Roman" w:cs="Times New Roman"/>
          <w:b/>
          <w:bCs/>
          <w:sz w:val="28"/>
          <w:szCs w:val="28"/>
        </w:rPr>
        <w:t>ілактика злоякісних новоутворень</w:t>
      </w:r>
    </w:p>
    <w:p w:rsidR="0034034F" w:rsidRPr="0034034F" w:rsidRDefault="0034034F" w:rsidP="0034034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У 1989 році у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іті зареєстровано 4 млн. смертей від злоякісних ново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утворень. Частота випадків раку подвоїлася глобально між 1975 та 2000 ро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ками, збільшиться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два рази знову до 2020 року і майже у три рази — до 2030 року. Прогнозовані дані на 2030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ік — 20-26 мільйонів нових діа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гнозів і 13-17 мільйонів смертей.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ітове співтовариство може очікувати збільшення поширеності цієї патології приблизно на 1 % щороку.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В Україні у загальній структурі смертності онкологічна патологія за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ймає 2-е місце (17-18 % від загальної смертності). Віковий її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ік припадає на 45-70 </w:t>
      </w:r>
      <w:r w:rsidRPr="004E5991">
        <w:rPr>
          <w:rFonts w:ascii="Times New Roman" w:hAnsi="Times New Roman" w:cs="Times New Roman"/>
          <w:sz w:val="28"/>
          <w:szCs w:val="28"/>
        </w:rPr>
        <w:lastRenderedPageBreak/>
        <w:t xml:space="preserve">років. Виявляється загальна тенденція до омолодження патології. В останні роки зростає частота раку передміхурової залози у чоловіків та молочної залози у жінок.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Головний механізм виникнення захворювання — порушення в гене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тичному апараті клітини, що призводить до нестримного неконтрольовано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го їх поділу. Причини переродження геному — хі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ічні канцерогени, іоні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зуюча радіація, онковіруси.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Існують уявлення, що пухлина — це скупчення гомотоксинів, депоно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ваних у внутрішніх середовищах організму (Реккевег).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ім вірусів, на роль онкогенних агентів претендують хламідії, трихомонади, грибки, мікоплаз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ми. У групах, для яких характерні вторинні імунодефіцити (діти, люди по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хилого віку, фахівці, що працюють на шкідливих виробництвах), пухлини розвиваються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част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іше.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Таким чином, пухлини розвиваються при дії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ізних екзогенних факторів на геном людини на тлі порушеної діяльності захисної системи (система імуніте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ту, лімфатична система, шкіра, мезенхіма, печінка, нирки, дихальна система).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Серед онкогенних факторів, що залежать від способу життя людини, необхідно відзначити наступні: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– психосоматична дисгармонія і дезадаптація — негативні емоції, неврози, психастенія, депресія, кумуляція втоми, синдром хронічної втоми, хронічний психоемоційний стрес, надмірна інтровертованість, внутрішнє незадоволення, втрата сенсу життя, почуття провини тощо. Результат — імунодефіцит;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– гіпокінезія, розумові та емоційні лінощі (синдром Обломова) призводять до зниження мікроциркуляції, енерг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та імунодефіциту, зниження адаптаційного потенціалу організму;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991">
        <w:rPr>
          <w:rFonts w:ascii="Times New Roman" w:hAnsi="Times New Roman" w:cs="Times New Roman"/>
          <w:sz w:val="28"/>
          <w:szCs w:val="28"/>
        </w:rPr>
        <w:t>– порушення ендоекології (дисбіоз) — захоплення нераціональною антибіотикотерапією, штучне вигодовування, відсутність у раціоні рослинної клітковини і кисломолочних продуктів, персистенція вірусів, хламідій і трихомонад, мікоплазм, грибкової флори.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Результат —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пряма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канцерогенна дія, імунодефіцит;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– канцерогенні фактори їжі — рафінована їжа, надлишок тваринних жирів, смажена 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копчена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їжа, надлишок простих вуглеводів, нітрати, токсини, цвіль, хронічні закрепи, калові камені, погане пережовування їжі, «швидка їжа», дуже гаряча їжа тощо;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– гомотоксикоз — недостатня діяльність органів виділення, порушення правил особистої гі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ієни, депонування токсинів у шкірі, мезенхімі, паренхімі печінки і нирок та ін.;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lastRenderedPageBreak/>
        <w:t>– «духовне забруднення» — злість, агресія, заздрість, тиранія та 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.;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– порушення в репродуктивній та сексуальній сфері — аборти, зневажання лактацією, дисгармонія в сексуальній сфері (нерегулярне статеве життя, фізич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на і психологічна незадоволеність, порушення в гі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ієні статевих органів, часта зміна статевих партнерів (небезпека зараження венеричними захворюваннями), тривале застосування оральних контрацептивів (надлишок естрогенів) та ін.;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– енергоагресія — синтетичний одяг та взуття,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бетонно-блоков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 бу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динки, радіація, «електронний смог» (захоплення переглядом телепередач, комп’ютерами, постійна робота електронно-побутових приладів) тощо;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– надлишкова маса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— нагромадження естрогенів;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– екзогенні канцерогени — зайва інсоляція, геопатогенні зони, пести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циди, зловживання алкоголем і палінням;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– застій кровообігу — носіння тісного одягу та взуття (тугий бюстгал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тер та 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.);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Заходи щодо онкопрофілактики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1. Обмеження впливу канцерогенних факторів середовища.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2. Усунення гемотоксикозу і відновлення гомеостазу внутрішнього середовища організму, ліквідація гіпоксії та застійних явищ.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3. Психосоматична 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ментально-духовна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гармонізація.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ідвищення рівня адаптаційних резервів організму.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5. Ліквідація дисбіозу.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Товстий кишечник</w:t>
      </w:r>
      <w:r w:rsidRPr="004E5991">
        <w:rPr>
          <w:rFonts w:ascii="Times New Roman" w:hAnsi="Times New Roman" w:cs="Times New Roman"/>
          <w:sz w:val="28"/>
          <w:szCs w:val="28"/>
        </w:rPr>
        <w:t>. Фактори ризику: надмірне споживання тваринних жирів і білків (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ідвищують рівень жовчних кислот — канцерогенів), нестача рослинної клітковини, дисбактеріоз, процеси гниття. Нестача у раціоні селену, вітамінів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і С, закрепи. Хронічні запальні процеси. Передракові стани — поліпи, дивертикульоз. Переїдання і харчування «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всухом’ятку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». Гіпокінезія і слабкість м’язів передньої черевної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інки. По234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передження: боротьба з факторами ризику. 1 раз на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ісяць — клізма. Фітопрофілактика — гіркоти, рослинна клітковина, часник, вітаміни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і С. Заселення кишечника живою біфідофлорою: йогурти, лінекс, ацидофільне молоко та ін. Лікування захворювань і ліквідація передракових станів. Вживання нерафінованих продуктів, хліба з висівками, харчових волокон.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Шлунок</w:t>
      </w:r>
      <w:r w:rsidRPr="004E5991">
        <w:rPr>
          <w:rFonts w:ascii="Times New Roman" w:hAnsi="Times New Roman" w:cs="Times New Roman"/>
          <w:sz w:val="28"/>
          <w:szCs w:val="28"/>
        </w:rPr>
        <w:t xml:space="preserve">. Фактори ризику: надлишок простих вуглеводів (солодощі, випічка), груба їжа, погане пережовування їжі, травмування слизової оболонки. Інфекційні агенти (хелікобактер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ілорі, герпес). Алкоголь, паління, зловживання кавою. Зловживання сушеною,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в’ялено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ї, солоною рибою, гострі маринади в овочах. Копченості (особливо риба), ні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трати 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їжі. Наявність виразкової хвороби шлунка та 12-палої кишки. Група крові А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 (ІІ). </w:t>
      </w:r>
      <w:proofErr w:type="gramEnd"/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Шкіра. </w:t>
      </w:r>
      <w:r w:rsidRPr="004E5991">
        <w:rPr>
          <w:rFonts w:ascii="Times New Roman" w:hAnsi="Times New Roman" w:cs="Times New Roman"/>
          <w:sz w:val="28"/>
          <w:szCs w:val="28"/>
        </w:rPr>
        <w:t xml:space="preserve">Фактори ризику: надмірна інсоляція, особливо з 10 до 17 годин, сонячні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іки, тривале перегрівання, навіть в одязі. Аплікації поліциклічними ароматичними вуглеводнями (дьоготь, бензол, мазут). Блондинам з блідою, мало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ігментованою шкірою — особливо небезпечно загоряти. Передракові стани — вроджені плями, бородавки, їх пошкодження. Забруднення печінки, зокрема стероїдами.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Молочна залоза</w:t>
      </w:r>
      <w:r w:rsidRPr="004E5991">
        <w:rPr>
          <w:rFonts w:ascii="Times New Roman" w:hAnsi="Times New Roman" w:cs="Times New Roman"/>
          <w:sz w:val="28"/>
          <w:szCs w:val="28"/>
        </w:rPr>
        <w:t xml:space="preserve">. Виражена тенденція до збільшення захворюваності та смертності. Фактори ризику: життя без шлюбу, відмова від годування грудьми, недостатній термін лактації, єдині пологи. Аборти, дисменорея, статевий інфантилізм,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ізнє встановлення менархе. Початок статевого життя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ісля 30 років і пізні пологи (після 40 років). Нерегулярне статеве життя, зниження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ліб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ідо, рання менопауза. Гіперестрогенемія,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тому числі в менопаузі, тривале використання оральних контрацептивів, ожиріння — з тієї ж причини. Великий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ід, післяпологовий мастит. Тугий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бюстгальтер б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ільше 10 годин на добу, силіконові протези. Препарати раувольфії, гіпотиреоз. Інсоляція з оголеними грудьми.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Попередження: регулярне статеве життя, відмова від абортів, грудне вигодовування, вільний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бюстгальте 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. Регулярний огляд молочної залози.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Шийка матки</w:t>
      </w:r>
      <w:r w:rsidRPr="004E5991">
        <w:rPr>
          <w:rFonts w:ascii="Times New Roman" w:hAnsi="Times New Roman" w:cs="Times New Roman"/>
          <w:sz w:val="28"/>
          <w:szCs w:val="28"/>
        </w:rPr>
        <w:t>. Фактори ризику: початок статевого життя до фізіологічного дозрівання (раніше 17 років), ранні пологи. Велика кількість статевих партнерів і заміжжя, випадкові статеві зв’язки, недотримання статевим партнером правил особистої гі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ієни (у смегмі — вірус папіломи і генітального герпесу). Пологові травми, ерозія шийки матки. Хронічні інфекції, що передаються статевим шляхом, — хламідії, мікоплазми, трихомонади, дисбактеріоз вагіни, вагініт, ендометрит, більше 3 пологів. Попередження — регулярний (1-2 рази в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ік) огляд гінеколога, контроль мікрофлори.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Яєчники</w:t>
      </w:r>
      <w:r w:rsidRPr="004E5991">
        <w:rPr>
          <w:rFonts w:ascii="Times New Roman" w:hAnsi="Times New Roman" w:cs="Times New Roman"/>
          <w:sz w:val="28"/>
          <w:szCs w:val="28"/>
        </w:rPr>
        <w:t xml:space="preserve">. Фактори ризику: надмірна маса тіла, дисменорея,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ізнє менархе.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ізня менопауза, метрорагія в менопаузі. Пізній початок статевого життя, аборти.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Легені</w:t>
      </w:r>
      <w:r w:rsidRPr="004E5991">
        <w:rPr>
          <w:rFonts w:ascii="Times New Roman" w:hAnsi="Times New Roman" w:cs="Times New Roman"/>
          <w:sz w:val="28"/>
          <w:szCs w:val="28"/>
        </w:rPr>
        <w:t xml:space="preserve">. Фактори ризику: паління пропорційно числу сигарет на добу, пасивне куріння (радіоактивний полоній). Алкоголізм. Професійні 235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шкідливості: радіоактивний пил, азбест, миш’як, сажа, дьоготь, берилій, хром та їх сполуки, залізна руда, нікель, дихлорметиловий ефі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, мінеральні масла, диметилсульфат тощо. Попередження: флюорографія, відмова від паління. Захист дихальних шляхів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 хімічних агентів.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Печінка</w:t>
      </w:r>
      <w:r w:rsidRPr="004E5991">
        <w:rPr>
          <w:rFonts w:ascii="Times New Roman" w:hAnsi="Times New Roman" w:cs="Times New Roman"/>
          <w:sz w:val="28"/>
          <w:szCs w:val="28"/>
        </w:rPr>
        <w:t>. Фактори ризику: вірусний гепатит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, С та ін., афлотоксини грибкового походження, в т.ч. при дисбактеріозі. Пестициди (ДДТ та ін.). Анаболічні стероїди. Хронічний алкоголізм.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Простата</w:t>
      </w:r>
      <w:r w:rsidRPr="004E5991">
        <w:rPr>
          <w:rFonts w:ascii="Times New Roman" w:hAnsi="Times New Roman" w:cs="Times New Roman"/>
          <w:sz w:val="28"/>
          <w:szCs w:val="28"/>
        </w:rPr>
        <w:t xml:space="preserve">. Фактори ризику: порушення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гормонального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балансу — гіперандрогенізація. Гонорея, хламідіоз, трихомоніаз, мікоплазмоз. Раннє статеве дозрівання. Раннє припинення статевого життя, перерваний статевий акт. Хронічні закрепи, алкоголізм. Надлишок жирі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у раціоні.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Губи, порожнина рота, стравохід</w:t>
      </w:r>
      <w:r w:rsidRPr="004E5991">
        <w:rPr>
          <w:rFonts w:ascii="Times New Roman" w:hAnsi="Times New Roman" w:cs="Times New Roman"/>
          <w:sz w:val="28"/>
          <w:szCs w:val="28"/>
        </w:rPr>
        <w:t xml:space="preserve">. Фактори ризику — занадто гаряча їжа, паління, жування тютюну. Механічні пошкодження (рибні кістки). Копчені продукти, нітрати їжі.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 xml:space="preserve">Нирки і сечовий </w:t>
      </w:r>
      <w:proofErr w:type="gramStart"/>
      <w:r w:rsidRPr="004E5991">
        <w:rPr>
          <w:rFonts w:ascii="Times New Roman" w:hAnsi="Times New Roman" w:cs="Times New Roman"/>
          <w:b/>
          <w:bCs/>
          <w:sz w:val="28"/>
          <w:szCs w:val="28"/>
        </w:rPr>
        <w:t>міху</w:t>
      </w:r>
      <w:proofErr w:type="gramEnd"/>
      <w:r w:rsidRPr="004E59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991">
        <w:rPr>
          <w:rFonts w:ascii="Times New Roman" w:hAnsi="Times New Roman" w:cs="Times New Roman"/>
          <w:sz w:val="28"/>
          <w:szCs w:val="28"/>
        </w:rPr>
        <w:t xml:space="preserve">р. Фактори ризику: паління, застій сечі.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99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b/>
          <w:bCs/>
          <w:sz w:val="28"/>
          <w:szCs w:val="28"/>
        </w:rPr>
        <w:t>ідшлункова залоза</w:t>
      </w:r>
      <w:r w:rsidRPr="004E5991">
        <w:rPr>
          <w:rFonts w:ascii="Times New Roman" w:hAnsi="Times New Roman" w:cs="Times New Roman"/>
          <w:sz w:val="28"/>
          <w:szCs w:val="28"/>
        </w:rPr>
        <w:t>. Фактори ризику: надлишок жирі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у раціоні. </w:t>
      </w:r>
    </w:p>
    <w:p w:rsidR="008C3840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91">
        <w:rPr>
          <w:rFonts w:ascii="Times New Roman" w:hAnsi="Times New Roman" w:cs="Times New Roman"/>
          <w:b/>
          <w:bCs/>
          <w:sz w:val="28"/>
          <w:szCs w:val="28"/>
        </w:rPr>
        <w:t>Гемобластози і лейкози</w:t>
      </w:r>
      <w:r w:rsidRPr="004E5991">
        <w:rPr>
          <w:rFonts w:ascii="Times New Roman" w:hAnsi="Times New Roman" w:cs="Times New Roman"/>
          <w:sz w:val="28"/>
          <w:szCs w:val="28"/>
        </w:rPr>
        <w:t>. Основний механізм — дисфункція імунної системи. Фактори ризику: іонізуюче випромінювання, вірусне ураження (перенесений інфекційний мононуклеоз). Продукти нафтопереробки (бензол), відходи гумової промисловості, отрутохімікати (пестициди). У дітей: ві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матері старший за 40 років, перенесені при вагітності вірусні захворювання (цитомегаловірус, герпес).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ізній токсикоз (еклампсія). Рентгенівське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ідження при вагітності. Великий плід і поруш</w:t>
      </w:r>
      <w:r w:rsidR="0034034F">
        <w:rPr>
          <w:rFonts w:ascii="Times New Roman" w:hAnsi="Times New Roman" w:cs="Times New Roman"/>
          <w:sz w:val="28"/>
          <w:szCs w:val="28"/>
        </w:rPr>
        <w:t>ення фетоплацентарного бар’єру.</w:t>
      </w:r>
    </w:p>
    <w:p w:rsidR="0034034F" w:rsidRPr="0034034F" w:rsidRDefault="0034034F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3840" w:rsidRPr="0034034F" w:rsidRDefault="008C3840" w:rsidP="003403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4F">
        <w:rPr>
          <w:rFonts w:ascii="Times New Roman" w:hAnsi="Times New Roman" w:cs="Times New Roman"/>
          <w:b/>
          <w:bCs/>
          <w:sz w:val="28"/>
          <w:szCs w:val="28"/>
        </w:rPr>
        <w:t xml:space="preserve">Відносність </w:t>
      </w:r>
      <w:r w:rsidR="0034034F">
        <w:rPr>
          <w:rFonts w:ascii="Times New Roman" w:hAnsi="Times New Roman" w:cs="Times New Roman"/>
          <w:b/>
          <w:bCs/>
          <w:sz w:val="28"/>
          <w:szCs w:val="28"/>
        </w:rPr>
        <w:t xml:space="preserve">критеріїв </w:t>
      </w:r>
      <w:proofErr w:type="gramStart"/>
      <w:r w:rsidR="0034034F">
        <w:rPr>
          <w:rFonts w:ascii="Times New Roman" w:hAnsi="Times New Roman" w:cs="Times New Roman"/>
          <w:b/>
          <w:bCs/>
          <w:sz w:val="28"/>
          <w:szCs w:val="28"/>
        </w:rPr>
        <w:t>здорового</w:t>
      </w:r>
      <w:proofErr w:type="gramEnd"/>
      <w:r w:rsidR="0034034F">
        <w:rPr>
          <w:rFonts w:ascii="Times New Roman" w:hAnsi="Times New Roman" w:cs="Times New Roman"/>
          <w:b/>
          <w:bCs/>
          <w:sz w:val="28"/>
          <w:szCs w:val="28"/>
        </w:rPr>
        <w:t xml:space="preserve"> стилю життя</w:t>
      </w:r>
    </w:p>
    <w:p w:rsidR="0034034F" w:rsidRPr="0034034F" w:rsidRDefault="0034034F" w:rsidP="0034034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Вважається, що зв’язок захворюваності та смертності з чинниками ризи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ку носить кількісний характер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переходу в якісні зміни. Такий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ідхід фор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мує основу рекомендацій при формуванні здорового способу життя (ЗСЖ) і профілактики захворювань. Всім без виключення рекомендується відмова від алкоголю і паління, обмеження вживання кухонної солі та тваринних жи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рів тощо. Подібний «казармовий»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ідхід при формуванні ЗСЖ цілком право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мірний там, де переважають лінійні залежності та односпрямовані зв’язки. Проте дані численних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іджень у медицині та суміжних з нею наукових галузях свідчать про різноманіття властивостей людини і суспільства, про широке розповсюдження неоднозначних характеристик і U-подібних від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носин.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 звязки відображають такі залежності, коли смертність мінімаль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на десь у середній частині розподілу показника. Цей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івень визначається як точка «мінімальної смертності» або «оптимальної норми». За її межами смертність збільшується як при високих, так і низьких значеннях ознаки.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Велику зацікавленість мають результати найбільшого в історії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ідеміо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логії проспективного спостереження 2 мільйонів норвежців, яке тривало 10 років (Waaler H., 1984 р.). Вивчався зв’язок смертності з масою тіла (маса/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іст у квадраті). Виявлено, що індекс маси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пов’язаний зі смертністю U- </w:t>
      </w:r>
      <w:r w:rsidR="003D2FF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4E5991">
        <w:rPr>
          <w:rFonts w:ascii="Times New Roman" w:hAnsi="Times New Roman" w:cs="Times New Roman"/>
          <w:sz w:val="28"/>
          <w:szCs w:val="28"/>
        </w:rPr>
        <w:t xml:space="preserve">дібним зв’язком. Смертність була вищою у осіб як з </w:t>
      </w:r>
      <w:r w:rsidRPr="004E5991">
        <w:rPr>
          <w:rFonts w:ascii="Times New Roman" w:hAnsi="Times New Roman" w:cs="Times New Roman"/>
          <w:sz w:val="28"/>
          <w:szCs w:val="28"/>
        </w:rPr>
        <w:lastRenderedPageBreak/>
        <w:t>надмірною, 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5991">
        <w:rPr>
          <w:rFonts w:ascii="Times New Roman" w:hAnsi="Times New Roman" w:cs="Times New Roman"/>
          <w:sz w:val="28"/>
          <w:szCs w:val="28"/>
        </w:rPr>
        <w:t>з недо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статньою масою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. В інтервалі індексу 22-30 смертність була найменшою.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Значення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івня холестерину плазми крові також неоднозначне і відносне. По-перше, помилковим вважається абсолютизація лінійних звязкі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та ігно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рування нижніх меж норми. Матеріали спостережень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ідчать, що низький рівень холестерину так само має негативний вплив на організм, як і високий.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Необхідність виділення обох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івнів норми для холестерину підтверджу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ється матеріалами Каунасько-Ротердамського дослідження, при якому при 11-літньому спостереженні U-подібний зв’язок і наявність мінімальної точ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ки смертності не за найнижчих, а при середніх значення холестерину (Про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хорскас Р. П. та ін., 1987 р.). Таким чином, спроби знизити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івень холесте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рину при його нормальному значенні можуть давати небажані наслідки.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U-подібні зв’язки або близькі за значенням порогові ефекти виявлені для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безл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ічі інших параметрів. Це стосується і артеріального тиску. У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дженні 7 країн (A.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Keys, 1982 р.) смертність збільшувалася тільки у верхніх 20 % розподілу.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До факторів ризику відноситься як високий, так і низький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івень артеріального тиску. При останньому ризик раптової смерті збільшу</w:t>
      </w:r>
      <w:r w:rsidRPr="004E5991">
        <w:rPr>
          <w:rFonts w:ascii="Times New Roman" w:hAnsi="Times New Roman" w:cs="Times New Roman"/>
          <w:sz w:val="28"/>
          <w:szCs w:val="28"/>
        </w:rPr>
        <w:softHyphen/>
        <w:t xml:space="preserve">ється більш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ніж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у 3 рази.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Такі ж U-подібні залежності виявлені у зв’язках смертності та вживання алкоголю, частоти серцевих скорочень, тривалості нічного сну та 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>Виявлена універсальність U-подібних звязків призводить до необхід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ності нового мислення при формуванні ЗСЖ. Суть його полягає в тому, що рекомендації для ЗСЖ не можуть бути однаковими для всіх. Вони прин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ципово ві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ізняються, в залежності від того, де знаходиться популяція або індивід на U-подібній кривій — зліва чи справа від точки мінімальної смертності. При цьому конкретні значення показника на U-подібній кривій залежать від регіону проживання популяції або індивіда і відношення цих значень до конкретних захворювань.</w:t>
      </w:r>
    </w:p>
    <w:p w:rsidR="008C3840" w:rsidRPr="004E5991" w:rsidRDefault="008C3840" w:rsidP="008C38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Наведені дані переконують у помилковості думки про допустимість безконтрольного зниження в популяції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івнів факторів ризику. Ігнорування цієї вимоги може призвести до значного зниження ефективності програм формування ЗСЖ.</w:t>
      </w:r>
      <w:bookmarkStart w:id="0" w:name="_GoBack"/>
      <w:bookmarkEnd w:id="0"/>
    </w:p>
    <w:sectPr w:rsidR="008C3840" w:rsidRPr="004E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3695"/>
    <w:multiLevelType w:val="hybridMultilevel"/>
    <w:tmpl w:val="2EE6A710"/>
    <w:lvl w:ilvl="0" w:tplc="150A65F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A65C73"/>
    <w:multiLevelType w:val="hybridMultilevel"/>
    <w:tmpl w:val="DDA45B16"/>
    <w:lvl w:ilvl="0" w:tplc="7BD2C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DB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4E95"/>
    <w:rsid w:val="00335923"/>
    <w:rsid w:val="0034034F"/>
    <w:rsid w:val="00350A7F"/>
    <w:rsid w:val="00363026"/>
    <w:rsid w:val="003979D9"/>
    <w:rsid w:val="003B758D"/>
    <w:rsid w:val="003D2FF6"/>
    <w:rsid w:val="003F6A15"/>
    <w:rsid w:val="00415A48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C3840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90298"/>
    <w:rsid w:val="00A942DC"/>
    <w:rsid w:val="00AD772D"/>
    <w:rsid w:val="00AE2DDB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2020-03-20T08:47:00Z</dcterms:created>
  <dcterms:modified xsi:type="dcterms:W3CDTF">2020-03-20T08:58:00Z</dcterms:modified>
</cp:coreProperties>
</file>